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041bfea944f66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18686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TURISTIČKA I UGOSTITELJSKA ŠKOLA DUBROVNIK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1.666.900,42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2.138.646,50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1.718.033,68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2.122.383,77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16.262,73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9.553,54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14.848,40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9.553,54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14.848,40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1.414,33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prvoj polovici 2026.godine ostvareno je 2.138.646,50 eura prihoda što je povećanje od 28% u odnosu na isto razdoblje 2025.godine.</w:t>
      </w:r>
    </w:p>
    <w:p>
      <w:r>
        <w:t xml:space="preserve">Ostvareni rashodi u prvoj polovici 2026.godine iznose 2.122.383,77 eura što je povećanje rasoda od 23% u odnosu na isto razdoblje 2025.godine.</w:t>
      </w:r>
    </w:p>
    <w:p>
      <w:r>
        <w:t xml:space="preserve">Rashodi za nabavu nefinancijske imovine u prvoj polovici 2026.godine iznose 14.848,40 eura što je 55% više u odnosu na isto razdoblje lani.</w:t>
      </w:r>
    </w:p>
    <w:p>
      <w:r>
        <w:t xml:space="preserve">Ostvaren višak prihoda i primitaka na polugodištu 2026.godine iznosi 1.414,33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1.666.900,42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2.138.646,50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128,3</w:t>
            </w:r>
          </w:p>
        </w:tc>
      </w:tr>
    </w:tbl>
    <w:p>
      <w:pPr>
        <w:spacing w:before="0" w:after="0"/>
      </w:pPr>
    </w:p>
    <w:p>
      <w:r>
        <w:t xml:space="preserve">Povećanje prihoda u odnosu na lanjsko razdoblje je rezultat rada Akademisa Čingrija od početka 2026.godine.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 posebnim propisima (šifre 6521 do 6528)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42.344,90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2.810,41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6,6</w:t>
            </w:r>
          </w:p>
        </w:tc>
      </w:tr>
    </w:tbl>
    <w:p>
      <w:pPr>
        <w:spacing w:before="0" w:after="0"/>
      </w:pPr>
    </w:p>
    <w:p>
      <w:r>
        <w:t xml:space="preserve">Smanjenje prihoda u odnosu na lanjsku godinu je rezultat novog načina knjiženja učeničkog servisa i prihoda od maturalne zabave.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186.760,05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384.418,83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205,8</w:t>
            </w:r>
          </w:p>
        </w:tc>
      </w:tr>
    </w:tbl>
    <w:p>
      <w:pPr>
        <w:spacing w:before="0" w:after="0"/>
      </w:pPr>
    </w:p>
    <w:p>
      <w:r>
        <w:t xml:space="preserve">Povećanje prihoda u odnosu na lanjsko razdoblje je rezultat rada Akademisa Čingrija od početka 2026.godine.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3.956,70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40.435,13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1021,9</w:t>
            </w:r>
          </w:p>
        </w:tc>
      </w:tr>
    </w:tbl>
    <w:p>
      <w:pPr>
        <w:spacing w:before="0" w:after="0"/>
      </w:pPr>
    </w:p>
    <w:p>
      <w:r>
        <w:t xml:space="preserve">Povećanje prihoda u odnosu na lanjsku godinu je rezultat novog načina  prihoda od maturalne zabave.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1.105,25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Ispravci pogrešnih knjiženja iz prethodnih godina.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1.718.033,68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2.122.383,77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123,5</w:t>
            </w:r>
          </w:p>
        </w:tc>
      </w:tr>
    </w:tbl>
    <w:p>
      <w:pPr>
        <w:spacing w:before="0" w:after="0"/>
      </w:pPr>
    </w:p>
    <w:p>
      <w:r>
        <w:t xml:space="preserve">Povećanje rashoda u odnosu na lanjsko razdoblje je rezultat rada Akademisa Čingrija od početka 2026.godine.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(bruto) (šifre 3111 do 3114)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1.143.599,56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1.440.157,11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125,9</w:t>
            </w:r>
          </w:p>
        </w:tc>
      </w:tr>
    </w:tbl>
    <w:p>
      <w:pPr>
        <w:spacing w:before="0" w:after="0"/>
      </w:pPr>
    </w:p>
    <w:p>
      <w:r>
        <w:t xml:space="preserve">Povećanje rashoda za plaće zbog većih broja zaposlenih i rasta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2.852,82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21.235,60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744,4</w:t>
            </w:r>
          </w:p>
        </w:tc>
      </w:tr>
    </w:tbl>
    <w:p>
      <w:pPr>
        <w:spacing w:before="0" w:after="0"/>
      </w:pPr>
    </w:p>
    <w:p>
      <w:r>
        <w:t xml:space="preserve">Povećanje rashoda uslijed opremanja Akademisa.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9.553,54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14.848,40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155,4</w:t>
            </w:r>
          </w:p>
        </w:tc>
      </w:tr>
    </w:tbl>
    <w:p>
      <w:pPr>
        <w:spacing w:before="0" w:after="0"/>
      </w:pPr>
    </w:p>
    <w:p>
      <w:r>
        <w:t xml:space="preserve">Povećanje rashoda opremanja Akadmisa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147.077,93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Akademis Čingrija je započeo s poslovanjem u kolovozu 2025. godine, te se još uvijek nalazi u početnoj fazi poslovanja. Značajna sredstva se još uvijek ulažu u organizaciju rada i razvoj usluga, te prihodi nisu ostvareni u planiranom iznosu.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367.290,49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Najveći udio nedospjelih obveza odnosi se na plaće za lipanj 2026.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0e3b917f784239" /></Relationships>
</file>